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DC" w:rsidRDefault="000B132C">
      <w:pPr>
        <w:pStyle w:val="Zhlav"/>
        <w:spacing w:before="480" w:after="480"/>
        <w:jc w:val="right"/>
      </w:pPr>
      <w:r>
        <w:t>Dne 1</w:t>
      </w:r>
      <w:r w:rsidR="00F85C41">
        <w:t>8</w:t>
      </w:r>
      <w:r>
        <w:t>. října 2017 v Českých Budějovicích</w:t>
      </w:r>
    </w:p>
    <w:p w:rsidR="001271DC" w:rsidRDefault="000B132C">
      <w:pPr>
        <w:jc w:val="both"/>
        <w:rPr>
          <w:b/>
          <w:sz w:val="36"/>
        </w:rPr>
      </w:pPr>
      <w:bookmarkStart w:id="0" w:name="_GoBack"/>
      <w:r>
        <w:rPr>
          <w:b/>
          <w:sz w:val="36"/>
        </w:rPr>
        <w:t xml:space="preserve">Operační řešení litiázy </w:t>
      </w:r>
      <w:bookmarkEnd w:id="0"/>
      <w:r>
        <w:rPr>
          <w:b/>
          <w:sz w:val="36"/>
        </w:rPr>
        <w:t>bude z Nemocnice České Budějovice přenášeno na konferenci urologů v Plzni</w:t>
      </w:r>
    </w:p>
    <w:p w:rsidR="001271DC" w:rsidRDefault="000B132C">
      <w:pPr>
        <w:pStyle w:val="Bezmezer"/>
        <w:jc w:val="both"/>
        <w:rPr>
          <w:b/>
          <w:sz w:val="24"/>
        </w:rPr>
      </w:pPr>
      <w:r>
        <w:rPr>
          <w:b/>
          <w:sz w:val="24"/>
        </w:rPr>
        <w:t>Ve dnech 18. až 20. října se v plzeňském Parkhotelu Plzeň uskuteční již 63. výroční konference České urologické společnosti ČLS JEP. Na programu bude i přímý přenos z operačního řešení litiázy, které se uskuteční v Nemocnici České Budějovice.</w:t>
      </w:r>
    </w:p>
    <w:p w:rsidR="001271DC" w:rsidRDefault="001271DC">
      <w:pPr>
        <w:pStyle w:val="Bezmezer"/>
        <w:jc w:val="both"/>
        <w:rPr>
          <w:sz w:val="24"/>
        </w:rPr>
      </w:pPr>
    </w:p>
    <w:p w:rsidR="001271DC" w:rsidRDefault="000B132C">
      <w:pPr>
        <w:pStyle w:val="Bezmezer"/>
        <w:jc w:val="both"/>
        <w:rPr>
          <w:i/>
          <w:sz w:val="24"/>
        </w:rPr>
      </w:pPr>
      <w:r>
        <w:rPr>
          <w:i/>
          <w:sz w:val="24"/>
        </w:rPr>
        <w:t xml:space="preserve">„Disponujeme jedním z největších Center pro terapii močových kamenů v České republice,“ </w:t>
      </w:r>
      <w:r>
        <w:rPr>
          <w:sz w:val="24"/>
        </w:rPr>
        <w:t xml:space="preserve">říká mluvčí nemocnice Bc. Iva Nováková, MBA. </w:t>
      </w:r>
      <w:r>
        <w:rPr>
          <w:i/>
          <w:sz w:val="24"/>
        </w:rPr>
        <w:t xml:space="preserve">„Technicky je na vysoké úrovni. Ještě více je však třeba vyzdvihnout tým odborníků, který tady máme. Například As. MUDr. Aleš Petřík, Ph.D., který operaci povede, je mimo jiné členem </w:t>
      </w:r>
      <w:proofErr w:type="spellStart"/>
      <w:r>
        <w:rPr>
          <w:i/>
          <w:sz w:val="24"/>
        </w:rPr>
        <w:t>Guideline</w:t>
      </w:r>
      <w:proofErr w:type="spellEnd"/>
      <w:r>
        <w:rPr>
          <w:i/>
          <w:sz w:val="24"/>
        </w:rPr>
        <w:t xml:space="preserve"> Panelu EAU pro léčbu močových kamenů.“</w:t>
      </w:r>
    </w:p>
    <w:p w:rsidR="001271DC" w:rsidRDefault="001271DC">
      <w:pPr>
        <w:pStyle w:val="Bezmezer"/>
        <w:jc w:val="both"/>
        <w:rPr>
          <w:sz w:val="24"/>
        </w:rPr>
      </w:pPr>
    </w:p>
    <w:p w:rsidR="001271DC" w:rsidRDefault="000B132C">
      <w:pPr>
        <w:jc w:val="both"/>
        <w:rPr>
          <w:sz w:val="24"/>
        </w:rPr>
      </w:pPr>
      <w:r>
        <w:rPr>
          <w:sz w:val="24"/>
        </w:rPr>
        <w:t xml:space="preserve">Operace se uskuteční ve čtvrtek 19. října od 10.15 hodin. Kromě </w:t>
      </w:r>
      <w:r w:rsidR="00F85C41">
        <w:rPr>
          <w:sz w:val="24"/>
        </w:rPr>
        <w:t>MUDr.</w:t>
      </w:r>
      <w:r>
        <w:rPr>
          <w:sz w:val="24"/>
        </w:rPr>
        <w:t xml:space="preserve"> Petříka bude operovat As. MUDr. Tomáš </w:t>
      </w:r>
      <w:proofErr w:type="spellStart"/>
      <w:r>
        <w:rPr>
          <w:sz w:val="24"/>
        </w:rPr>
        <w:t>Ürge</w:t>
      </w:r>
      <w:proofErr w:type="spellEnd"/>
      <w:r>
        <w:rPr>
          <w:sz w:val="24"/>
        </w:rPr>
        <w:t xml:space="preserve"> , Ph.D., odborný asistent Urologické kliniky 1LF UK Plzeň.</w:t>
      </w:r>
    </w:p>
    <w:p w:rsidR="001271DC" w:rsidRDefault="000B132C">
      <w:pPr>
        <w:jc w:val="both"/>
        <w:rPr>
          <w:sz w:val="24"/>
        </w:rPr>
      </w:pPr>
      <w:r>
        <w:rPr>
          <w:sz w:val="24"/>
        </w:rPr>
        <w:t>63. výroční konference České urologické společnosti ČLS JEP se zúčastní zhruba 550 lékařů z České republiky, 250 sester z České republiky, 150 evropských lékařů a 60 vyzvaných předních urologů z Evropy včetně nejvyšších představitelů Evropské asociace Urologů (EAU).</w:t>
      </w:r>
    </w:p>
    <w:p w:rsidR="001271DC" w:rsidRDefault="001271DC">
      <w:pPr>
        <w:spacing w:after="200"/>
        <w:jc w:val="both"/>
        <w:rPr>
          <w:rFonts w:eastAsia="Times New Roman" w:cstheme="minorHAnsi"/>
          <w:szCs w:val="24"/>
          <w:lang w:eastAsia="cs-CZ"/>
        </w:rPr>
      </w:pPr>
    </w:p>
    <w:sectPr w:rsidR="001271DC" w:rsidSect="00127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B7" w:rsidRDefault="00D338B7">
      <w:pPr>
        <w:spacing w:after="0" w:line="240" w:lineRule="auto"/>
      </w:pPr>
      <w:r>
        <w:separator/>
      </w:r>
    </w:p>
  </w:endnote>
  <w:endnote w:type="continuationSeparator" w:id="0">
    <w:p w:rsidR="00D338B7" w:rsidRDefault="00D3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DC" w:rsidRDefault="001271D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DC" w:rsidRDefault="000B132C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1271DC" w:rsidRDefault="000B132C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1271DC" w:rsidRDefault="000B132C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1271DC" w:rsidRDefault="000B132C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DC" w:rsidRDefault="001271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B7" w:rsidRDefault="00D338B7">
      <w:pPr>
        <w:spacing w:after="0" w:line="240" w:lineRule="auto"/>
      </w:pPr>
      <w:r>
        <w:separator/>
      </w:r>
    </w:p>
  </w:footnote>
  <w:footnote w:type="continuationSeparator" w:id="0">
    <w:p w:rsidR="00D338B7" w:rsidRDefault="00D3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DC" w:rsidRDefault="001271D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DC" w:rsidRDefault="000B132C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1271DC" w:rsidRDefault="000B132C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DC" w:rsidRDefault="001271D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71DC"/>
    <w:rsid w:val="000B132C"/>
    <w:rsid w:val="001271DC"/>
    <w:rsid w:val="004B0429"/>
    <w:rsid w:val="00522414"/>
    <w:rsid w:val="00D338B7"/>
    <w:rsid w:val="00F8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1DC"/>
  </w:style>
  <w:style w:type="paragraph" w:styleId="Nadpis1">
    <w:name w:val="heading 1"/>
    <w:basedOn w:val="Normln"/>
    <w:next w:val="Normln"/>
    <w:link w:val="Nadpis1Char"/>
    <w:uiPriority w:val="9"/>
    <w:qFormat/>
    <w:rsid w:val="001271DC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71DC"/>
  </w:style>
  <w:style w:type="paragraph" w:styleId="Zpat">
    <w:name w:val="footer"/>
    <w:basedOn w:val="Normln"/>
    <w:link w:val="ZpatChar"/>
    <w:uiPriority w:val="99"/>
    <w:unhideWhenUsed/>
    <w:rsid w:val="0012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71DC"/>
  </w:style>
  <w:style w:type="character" w:customStyle="1" w:styleId="Nadpis1Char">
    <w:name w:val="Nadpis 1 Char"/>
    <w:basedOn w:val="Standardnpsmoodstavce"/>
    <w:link w:val="Nadpis1"/>
    <w:uiPriority w:val="9"/>
    <w:rsid w:val="001271D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271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71DC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1271DC"/>
  </w:style>
  <w:style w:type="paragraph" w:styleId="Normlnweb">
    <w:name w:val="Normal (Web)"/>
    <w:basedOn w:val="Normln"/>
    <w:uiPriority w:val="99"/>
    <w:semiHidden/>
    <w:unhideWhenUsed/>
    <w:rsid w:val="0012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71DC"/>
    <w:rPr>
      <w:b/>
      <w:bCs/>
    </w:rPr>
  </w:style>
  <w:style w:type="character" w:customStyle="1" w:styleId="textexposedshow">
    <w:name w:val="text_exposed_show"/>
    <w:basedOn w:val="Standardnpsmoodstavce"/>
    <w:rsid w:val="001271DC"/>
  </w:style>
  <w:style w:type="paragraph" w:styleId="Bezmezer">
    <w:name w:val="No Spacing"/>
    <w:uiPriority w:val="1"/>
    <w:qFormat/>
    <w:rsid w:val="001271DC"/>
    <w:pPr>
      <w:spacing w:after="0" w:line="240" w:lineRule="auto"/>
    </w:pPr>
  </w:style>
  <w:style w:type="character" w:customStyle="1" w:styleId="5yl5">
    <w:name w:val="_5yl5"/>
    <w:basedOn w:val="Standardnpsmoodstavce"/>
    <w:rsid w:val="001271DC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71D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4D146D-7130-4E1B-8044-B0A9ED62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2016-05-31T12:14:00Z</cp:lastPrinted>
  <dcterms:created xsi:type="dcterms:W3CDTF">2017-10-27T10:07:00Z</dcterms:created>
  <dcterms:modified xsi:type="dcterms:W3CDTF">2017-10-27T10:07:00Z</dcterms:modified>
</cp:coreProperties>
</file>