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E" w:rsidRDefault="00C9387E" w:rsidP="00C9387E">
      <w:pPr>
        <w:rPr>
          <w:b/>
          <w:u w:val="single"/>
        </w:rPr>
      </w:pPr>
      <w:r w:rsidRPr="00C9387E">
        <w:rPr>
          <w:b/>
          <w:u w:val="single"/>
        </w:rPr>
        <w:t>Tonzilektomie – odstra</w:t>
      </w:r>
      <w:r>
        <w:rPr>
          <w:b/>
          <w:u w:val="single"/>
        </w:rPr>
        <w:t>nění patrových (krčních) mandlí</w:t>
      </w:r>
    </w:p>
    <w:p w:rsidR="00C9387E" w:rsidRPr="00010440" w:rsidRDefault="00C9387E" w:rsidP="00F634FC">
      <w:pPr>
        <w:spacing w:after="120" w:line="360" w:lineRule="auto"/>
        <w:rPr>
          <w:sz w:val="24"/>
          <w:szCs w:val="24"/>
        </w:rPr>
      </w:pPr>
      <w:bookmarkStart w:id="0" w:name="_GoBack"/>
      <w:bookmarkEnd w:id="0"/>
      <w:r w:rsidRPr="00010440">
        <w:rPr>
          <w:sz w:val="24"/>
          <w:szCs w:val="24"/>
        </w:rPr>
        <w:t xml:space="preserve">Patrová mandle je párový orgán uložený na rozhraní dýchacího a trávicího ústrojí, mezi kořenem jazyka a měkkým patrem. Spolu s nosní a jazykovou mandlí jsou součástí </w:t>
      </w:r>
      <w:proofErr w:type="spellStart"/>
      <w:r w:rsidRPr="00010440">
        <w:rPr>
          <w:sz w:val="24"/>
          <w:szCs w:val="24"/>
        </w:rPr>
        <w:t>Waldayerova</w:t>
      </w:r>
      <w:proofErr w:type="spellEnd"/>
      <w:r w:rsidRPr="00010440">
        <w:rPr>
          <w:sz w:val="24"/>
          <w:szCs w:val="24"/>
        </w:rPr>
        <w:t xml:space="preserve"> lymfatického okruhu a mají význam při imunologických pochodech v organizmu. Aby však tuto funkci mohly správně plnit, musí se jednat o zdravou lymfatickou tkáň. Před odstraněním krčních mandlí třeba zvýšené opatrnosti u pacientů s bronchiálním astmatem nebo poruchou imunity, a proto u těchto pacientů požadujeme vyjádření alergologa a imunologa k plánovanému výkonu. Výkon se neprovádí u dětí mladších 3 roky. U všech předškolních dětí je nutnost výkonu posuzována individuálně, ve spolupráci s pediatrem.</w:t>
      </w:r>
    </w:p>
    <w:p w:rsidR="00C9387E" w:rsidRPr="00010440" w:rsidRDefault="00C9387E" w:rsidP="00F634FC">
      <w:pPr>
        <w:spacing w:after="120" w:line="360" w:lineRule="auto"/>
        <w:rPr>
          <w:sz w:val="24"/>
          <w:szCs w:val="24"/>
        </w:rPr>
      </w:pPr>
      <w:r w:rsidRPr="00010440">
        <w:rPr>
          <w:sz w:val="24"/>
          <w:szCs w:val="24"/>
        </w:rPr>
        <w:t>Operační výkon je prováděn v celkové anestesii, šetrnou preparací mandlí z </w:t>
      </w:r>
      <w:proofErr w:type="spellStart"/>
      <w:r w:rsidRPr="00010440">
        <w:rPr>
          <w:sz w:val="24"/>
          <w:szCs w:val="24"/>
        </w:rPr>
        <w:t>tonzilárních</w:t>
      </w:r>
      <w:proofErr w:type="spellEnd"/>
      <w:r w:rsidRPr="00010440">
        <w:rPr>
          <w:sz w:val="24"/>
          <w:szCs w:val="24"/>
        </w:rPr>
        <w:t xml:space="preserve"> lůžek. Krvácení je stavěno kauterizací (spálením krvácející cévy elektrickým proudem) nebo opichy, lůžka se po tonzilektomii ponechávají volná. </w:t>
      </w:r>
    </w:p>
    <w:p w:rsidR="00C9387E" w:rsidRPr="00010440" w:rsidRDefault="00C9387E" w:rsidP="00F634FC">
      <w:pPr>
        <w:spacing w:after="120" w:line="360" w:lineRule="auto"/>
        <w:rPr>
          <w:sz w:val="24"/>
          <w:szCs w:val="24"/>
        </w:rPr>
      </w:pPr>
      <w:r w:rsidRPr="00010440">
        <w:rPr>
          <w:sz w:val="24"/>
          <w:szCs w:val="24"/>
        </w:rPr>
        <w:t>V pooperačním průběhu bolest tlumíme analgetiky a je srovnatelná s bolestí u anginy. Délka hospitalizace je při n</w:t>
      </w:r>
      <w:r w:rsidR="00010440">
        <w:rPr>
          <w:sz w:val="24"/>
          <w:szCs w:val="24"/>
        </w:rPr>
        <w:t>ekomplikovaném průběhu asi týden</w:t>
      </w:r>
      <w:r w:rsidRPr="00010440">
        <w:rPr>
          <w:sz w:val="24"/>
          <w:szCs w:val="24"/>
        </w:rPr>
        <w:t>. Hojení po provedené tonzilektomii probíhá bělavými f</w:t>
      </w:r>
      <w:r w:rsidR="00010440">
        <w:rPr>
          <w:sz w:val="24"/>
          <w:szCs w:val="24"/>
        </w:rPr>
        <w:t>ibrinovými povlaky a trvá asi 14</w:t>
      </w:r>
      <w:r w:rsidRPr="00010440">
        <w:rPr>
          <w:sz w:val="24"/>
          <w:szCs w:val="24"/>
        </w:rPr>
        <w:t xml:space="preserve"> dnů. K výplachům úst po jídle je vhodný odvar z</w:t>
      </w:r>
      <w:r w:rsidR="00010440">
        <w:rPr>
          <w:sz w:val="24"/>
          <w:szCs w:val="24"/>
        </w:rPr>
        <w:t xml:space="preserve"> řepíku či </w:t>
      </w:r>
      <w:r w:rsidRPr="00010440">
        <w:rPr>
          <w:sz w:val="24"/>
          <w:szCs w:val="24"/>
        </w:rPr>
        <w:t xml:space="preserve">heřmánku. Délka pracovní neschopnosti je asi 14 dnů. Pacient přijímá nejprve tekutou a později kašovitou až tuhou nedráždivou stravu a dodržuje pokojový režim s omezením fyzické aktivity, aby nedošlo ke zvýšení rizika pooperačního krvácení. </w:t>
      </w:r>
      <w:r w:rsidR="00947D56" w:rsidRPr="00010440">
        <w:rPr>
          <w:sz w:val="24"/>
          <w:szCs w:val="24"/>
        </w:rPr>
        <w:t xml:space="preserve"> Prvních 14 dní po výkonu by se pacient měl vyhnout koupání v horké vodě. Vhodný je dostatek tekutin, aby hojící se lůžka byla stále vlhká. </w:t>
      </w:r>
    </w:p>
    <w:p w:rsidR="00947D56" w:rsidRPr="00010440" w:rsidRDefault="00947D56" w:rsidP="00010440">
      <w:pPr>
        <w:spacing w:after="120" w:line="360" w:lineRule="auto"/>
        <w:ind w:firstLine="360"/>
        <w:rPr>
          <w:sz w:val="24"/>
          <w:szCs w:val="24"/>
        </w:rPr>
      </w:pPr>
      <w:r w:rsidRPr="00010440">
        <w:rPr>
          <w:sz w:val="24"/>
          <w:szCs w:val="24"/>
          <w:u w:val="single"/>
        </w:rPr>
        <w:t>První pomoc při krvácení z lůžka po tonzilektomii</w:t>
      </w:r>
      <w:r w:rsidRPr="00010440">
        <w:rPr>
          <w:sz w:val="24"/>
          <w:szCs w:val="24"/>
        </w:rPr>
        <w:t>:</w:t>
      </w:r>
    </w:p>
    <w:p w:rsidR="00947D56" w:rsidRPr="00010440" w:rsidRDefault="00947D56" w:rsidP="00010440">
      <w:pPr>
        <w:pStyle w:val="Odstavecseseznamem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010440">
        <w:rPr>
          <w:sz w:val="24"/>
          <w:szCs w:val="24"/>
        </w:rPr>
        <w:t xml:space="preserve">zavolat RZP – tel. 155 </w:t>
      </w:r>
    </w:p>
    <w:p w:rsidR="00947D56" w:rsidRPr="00010440" w:rsidRDefault="00947D56" w:rsidP="00010440">
      <w:pPr>
        <w:pStyle w:val="Odstavecseseznamem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010440">
        <w:rPr>
          <w:sz w:val="24"/>
          <w:szCs w:val="24"/>
        </w:rPr>
        <w:t>přiložit ledové obklady na krk</w:t>
      </w:r>
    </w:p>
    <w:p w:rsidR="00947D56" w:rsidRPr="00010440" w:rsidRDefault="00947D56" w:rsidP="00010440">
      <w:pPr>
        <w:pStyle w:val="Odstavecseseznamem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010440">
        <w:rPr>
          <w:sz w:val="24"/>
          <w:szCs w:val="24"/>
        </w:rPr>
        <w:t>krev nepolykat</w:t>
      </w:r>
    </w:p>
    <w:p w:rsidR="00364A8B" w:rsidRDefault="00364A8B" w:rsidP="00C9387E"/>
    <w:sectPr w:rsidR="0036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884"/>
    <w:multiLevelType w:val="hybridMultilevel"/>
    <w:tmpl w:val="F3B89A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14BBB"/>
    <w:multiLevelType w:val="hybridMultilevel"/>
    <w:tmpl w:val="B7DC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E"/>
    <w:rsid w:val="00010440"/>
    <w:rsid w:val="00364A8B"/>
    <w:rsid w:val="00947D56"/>
    <w:rsid w:val="00C9387E"/>
    <w:rsid w:val="00F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Hladíková</dc:creator>
  <cp:keywords/>
  <dc:description/>
  <cp:lastModifiedBy>dolez</cp:lastModifiedBy>
  <cp:revision>4</cp:revision>
  <dcterms:created xsi:type="dcterms:W3CDTF">2022-12-11T21:10:00Z</dcterms:created>
  <dcterms:modified xsi:type="dcterms:W3CDTF">2022-12-12T20:36:00Z</dcterms:modified>
</cp:coreProperties>
</file>